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0" w:rsidRPr="00CE6450" w:rsidRDefault="00CE6450" w:rsidP="00CE6450">
      <w:pPr>
        <w:pStyle w:val="Title"/>
        <w:rPr>
          <w:lang w:val="en-GB"/>
        </w:rPr>
      </w:pPr>
      <w:r w:rsidRPr="00CE6450">
        <w:rPr>
          <w:lang w:val="en-GB"/>
        </w:rPr>
        <w:t xml:space="preserve">Handout </w:t>
      </w:r>
      <w:r w:rsidR="00104E38">
        <w:rPr>
          <w:lang w:val="en-GB"/>
        </w:rPr>
        <w:t>Session 3.1</w:t>
      </w:r>
      <w:r w:rsidRPr="00CE6450">
        <w:rPr>
          <w:lang w:val="en-GB"/>
        </w:rPr>
        <w:t>- Evaluating Progress in Health in All Policies</w:t>
      </w:r>
    </w:p>
    <w:p w:rsidR="00104E38" w:rsidRPr="00104E38" w:rsidRDefault="00104E38" w:rsidP="00104E38">
      <w:pPr>
        <w:rPr>
          <w:sz w:val="24"/>
          <w:szCs w:val="24"/>
          <w:lang w:val="en-GB"/>
        </w:rPr>
      </w:pPr>
      <w:r w:rsidRPr="00104E38">
        <w:rPr>
          <w:sz w:val="24"/>
          <w:szCs w:val="24"/>
          <w:lang w:val="en-GB"/>
        </w:rPr>
        <w:t>To achieve change on your action plan, what for you would be a key indicator of success?</w:t>
      </w:r>
      <w:r w:rsidRPr="00104E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04E38">
        <w:rPr>
          <w:sz w:val="24"/>
          <w:szCs w:val="24"/>
        </w:rPr>
        <w:t xml:space="preserve">Consider the flow of impact </w:t>
      </w:r>
      <w:r w:rsidRPr="00104E38">
        <w:rPr>
          <w:sz w:val="24"/>
          <w:szCs w:val="24"/>
          <w:lang w:val="en-GB"/>
        </w:rPr>
        <w:t>diagram</w:t>
      </w:r>
      <w:r w:rsidRPr="00104E38">
        <w:rPr>
          <w:sz w:val="24"/>
          <w:szCs w:val="24"/>
        </w:rPr>
        <w:t xml:space="preserve"> (over page) and </w:t>
      </w:r>
      <w:r>
        <w:rPr>
          <w:sz w:val="24"/>
          <w:szCs w:val="24"/>
        </w:rPr>
        <w:t xml:space="preserve">the </w:t>
      </w:r>
      <w:r w:rsidRPr="00104E38">
        <w:rPr>
          <w:sz w:val="24"/>
          <w:szCs w:val="24"/>
        </w:rPr>
        <w:t xml:space="preserve">example  indicators </w:t>
      </w:r>
      <w:r>
        <w:rPr>
          <w:sz w:val="24"/>
          <w:szCs w:val="24"/>
        </w:rPr>
        <w:t>and measurement processes discussed in this session</w:t>
      </w:r>
      <w:r w:rsidRPr="00104E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104E38" w:rsidRPr="00104E38" w:rsidRDefault="00104E38" w:rsidP="00104E38">
      <w:pPr>
        <w:shd w:val="clear" w:color="auto" w:fill="FFFFFF" w:themeFill="background1"/>
        <w:spacing w:after="120"/>
        <w:rPr>
          <w:sz w:val="24"/>
          <w:szCs w:val="24"/>
          <w:lang w:val="en-GB"/>
        </w:rPr>
      </w:pPr>
      <w:r w:rsidRPr="00104E38">
        <w:rPr>
          <w:sz w:val="24"/>
          <w:szCs w:val="24"/>
          <w:lang w:val="en-GB"/>
        </w:rPr>
        <w:t>1. Form pairs with the person on your right. Each taking turns, select 1 important action or activity and describe that action to your colleague. Discuss with your colleague, by thinking of the presentations you saw and looking at the article (fig 2): which indicator would be useful to measure your progress or success.</w:t>
      </w:r>
    </w:p>
    <w:p w:rsidR="00104E38" w:rsidRPr="00104E38" w:rsidRDefault="00104E38" w:rsidP="00104E38">
      <w:pPr>
        <w:shd w:val="clear" w:color="auto" w:fill="FFFFFF" w:themeFill="background1"/>
        <w:spacing w:after="120"/>
        <w:rPr>
          <w:sz w:val="24"/>
          <w:szCs w:val="24"/>
          <w:lang w:val="en-GB"/>
        </w:rPr>
      </w:pPr>
      <w:r w:rsidRPr="00104E38">
        <w:rPr>
          <w:sz w:val="24"/>
          <w:szCs w:val="24"/>
          <w:lang w:val="en-GB"/>
        </w:rPr>
        <w:t xml:space="preserve"> (10 min)</w:t>
      </w:r>
    </w:p>
    <w:p w:rsidR="00104E38" w:rsidRPr="00104E38" w:rsidRDefault="00104E38" w:rsidP="00104E38">
      <w:pPr>
        <w:shd w:val="clear" w:color="auto" w:fill="FFFFFF" w:themeFill="background1"/>
        <w:spacing w:after="120"/>
        <w:rPr>
          <w:sz w:val="24"/>
          <w:szCs w:val="24"/>
          <w:lang w:val="en-GB"/>
        </w:rPr>
      </w:pPr>
      <w:r w:rsidRPr="00104E38">
        <w:rPr>
          <w:sz w:val="24"/>
          <w:szCs w:val="24"/>
          <w:lang w:val="en-GB"/>
        </w:rPr>
        <w:t>2. Discuss with your group what your indicators are, how you would measure it and any challenges to measurement (10 min).</w:t>
      </w:r>
    </w:p>
    <w:p w:rsidR="00104E38" w:rsidRPr="00104E38" w:rsidRDefault="00104E38" w:rsidP="00104E38">
      <w:pPr>
        <w:shd w:val="clear" w:color="auto" w:fill="FFFFFF" w:themeFill="background1"/>
        <w:spacing w:after="120"/>
        <w:rPr>
          <w:b/>
          <w:sz w:val="24"/>
          <w:szCs w:val="24"/>
          <w:u w:val="single"/>
          <w:lang w:val="en-GB"/>
        </w:rPr>
      </w:pPr>
    </w:p>
    <w:p w:rsidR="00104E38" w:rsidRPr="00104E38" w:rsidRDefault="00104E38" w:rsidP="00104E38">
      <w:pPr>
        <w:shd w:val="clear" w:color="auto" w:fill="FFFFFF" w:themeFill="background1"/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Table 1.  Notes on i</w:t>
      </w:r>
      <w:r w:rsidRPr="00104E38">
        <w:rPr>
          <w:b/>
          <w:u w:val="single"/>
          <w:lang w:val="en-GB"/>
        </w:rPr>
        <w:t>ndicator of success</w:t>
      </w:r>
    </w:p>
    <w:p w:rsidR="00104E38" w:rsidRPr="00104E38" w:rsidRDefault="00104E38" w:rsidP="00104E38">
      <w:pPr>
        <w:shd w:val="clear" w:color="auto" w:fill="FFFFFF" w:themeFill="background1"/>
        <w:spacing w:after="120"/>
        <w:rPr>
          <w:b/>
          <w:u w:val="single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4"/>
        <w:gridCol w:w="3621"/>
        <w:gridCol w:w="3621"/>
      </w:tblGrid>
      <w:tr w:rsidR="00104E38" w:rsidRPr="00104E38" w:rsidTr="00820745">
        <w:tc>
          <w:tcPr>
            <w:tcW w:w="2334" w:type="dxa"/>
          </w:tcPr>
          <w:p w:rsidR="00104E38" w:rsidRPr="00104E38" w:rsidRDefault="00104E38" w:rsidP="00104E38">
            <w:pPr>
              <w:shd w:val="clear" w:color="auto" w:fill="FFFFFF" w:themeFill="background1"/>
              <w:spacing w:after="120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>tion</w:t>
            </w:r>
            <w:r>
              <w:rPr>
                <w:lang w:val="en-GB"/>
              </w:rPr>
              <w:t>/activity</w:t>
            </w: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  <w:r w:rsidRPr="00104E38">
              <w:rPr>
                <w:lang w:val="en-GB"/>
              </w:rPr>
              <w:t>Description</w:t>
            </w: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  <w:r w:rsidRPr="00104E38">
              <w:rPr>
                <w:lang w:val="en-GB"/>
              </w:rPr>
              <w:t xml:space="preserve">How to measure </w:t>
            </w:r>
            <w:r>
              <w:rPr>
                <w:lang w:val="en-GB"/>
              </w:rPr>
              <w:t>/ Challenges</w:t>
            </w:r>
          </w:p>
        </w:tc>
      </w:tr>
      <w:tr w:rsidR="00104E38" w:rsidRPr="00104E38" w:rsidTr="00820745">
        <w:tc>
          <w:tcPr>
            <w:tcW w:w="2334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  <w:r w:rsidRPr="00104E38">
              <w:rPr>
                <w:lang w:val="en-GB"/>
              </w:rPr>
              <w:t xml:space="preserve">Practice </w:t>
            </w: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pStyle w:val="BodyText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</w:tr>
      <w:tr w:rsidR="00104E38" w:rsidRPr="00104E38" w:rsidTr="00820745">
        <w:tc>
          <w:tcPr>
            <w:tcW w:w="2334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  <w:r w:rsidRPr="00104E38">
              <w:rPr>
                <w:lang w:val="en-GB"/>
              </w:rPr>
              <w:t xml:space="preserve">Education </w:t>
            </w:r>
          </w:p>
          <w:p w:rsid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pStyle w:val="BodyText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  <w:tc>
          <w:tcPr>
            <w:tcW w:w="3621" w:type="dxa"/>
          </w:tcPr>
          <w:p w:rsidR="00104E38" w:rsidRPr="00104E38" w:rsidRDefault="00104E38" w:rsidP="00820745">
            <w:pPr>
              <w:shd w:val="clear" w:color="auto" w:fill="FFFFFF" w:themeFill="background1"/>
              <w:spacing w:after="120"/>
              <w:rPr>
                <w:lang w:val="en-GB"/>
              </w:rPr>
            </w:pPr>
          </w:p>
        </w:tc>
      </w:tr>
    </w:tbl>
    <w:p w:rsidR="00DE3DBE" w:rsidRDefault="00104E38" w:rsidP="00DE3DBE">
      <w:pPr>
        <w:pStyle w:val="ListNumber"/>
        <w:numPr>
          <w:ilvl w:val="0"/>
          <w:numId w:val="0"/>
        </w:numPr>
        <w:ind w:left="360"/>
        <w:rPr>
          <w:lang w:val="en-GB"/>
        </w:rPr>
      </w:pPr>
      <w:r>
        <w:rPr>
          <w:b/>
          <w:i/>
          <w:sz w:val="24"/>
          <w:szCs w:val="24"/>
        </w:rPr>
        <w:t>Hint.</w:t>
      </w:r>
      <w:r w:rsidRPr="00104E3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You may also refer to the paper in </w:t>
      </w:r>
      <w:r w:rsidRPr="00104E38">
        <w:rPr>
          <w:sz w:val="24"/>
          <w:szCs w:val="24"/>
          <w:lang w:val="en-GB"/>
        </w:rPr>
        <w:t xml:space="preserve">your folder, </w:t>
      </w:r>
      <w:r w:rsidRPr="00104E38">
        <w:rPr>
          <w:i/>
          <w:sz w:val="24"/>
          <w:szCs w:val="24"/>
          <w:lang w:val="en-GB"/>
        </w:rPr>
        <w:t>Evaluation of Health in All Policies: concept, theory and application, looking at Fig. 2: The draft preliminary program logic model (as at July 2013)</w:t>
      </w:r>
    </w:p>
    <w:p w:rsidR="00B12D2F" w:rsidRDefault="00B12D2F" w:rsidP="00B12D2F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B12D2F" w:rsidRPr="00B12D2F" w:rsidRDefault="00B12D2F" w:rsidP="00B12D2F">
      <w:pPr>
        <w:pStyle w:val="ListNumber"/>
        <w:numPr>
          <w:ilvl w:val="0"/>
          <w:numId w:val="0"/>
        </w:numPr>
        <w:ind w:left="360"/>
        <w:rPr>
          <w:rFonts w:eastAsiaTheme="majorEastAsia" w:cstheme="majorBidi"/>
          <w:b/>
          <w:bCs/>
          <w:color w:val="275C9D"/>
          <w:sz w:val="28"/>
          <w:szCs w:val="28"/>
          <w:u w:val="single"/>
          <w:lang w:val="en-GB"/>
        </w:rPr>
      </w:pPr>
    </w:p>
    <w:p w:rsidR="00BD3640" w:rsidRPr="00BD3640" w:rsidRDefault="00104E38" w:rsidP="00104E38">
      <w:pPr>
        <w:shd w:val="clear" w:color="auto" w:fill="FFFFFF" w:themeFill="background1"/>
        <w:spacing w:after="120"/>
        <w:rPr>
          <w:b/>
          <w:lang w:val="en-GB"/>
        </w:rPr>
      </w:pPr>
      <w:r w:rsidRPr="005E16E1">
        <w:rPr>
          <w:rFonts w:ascii="Calibri Light" w:hAnsi="Calibri Light"/>
          <w:noProof/>
          <w:lang w:val="en-GB" w:eastAsia="en-GB"/>
        </w:rPr>
        <w:drawing>
          <wp:inline distT="0" distB="0" distL="0" distR="0" wp14:anchorId="4D09A461" wp14:editId="05F40E02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640" w:rsidRPr="00BD3640" w:rsidSect="00BD3640">
      <w:headerReference w:type="default" r:id="rId9"/>
      <w:footerReference w:type="default" r:id="rId10"/>
      <w:pgSz w:w="12240" w:h="15840" w:code="1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0" w:rsidRDefault="00CE6450" w:rsidP="001255DA">
      <w:pPr>
        <w:spacing w:after="0" w:line="240" w:lineRule="auto"/>
      </w:pPr>
      <w:r>
        <w:separator/>
      </w:r>
    </w:p>
  </w:endnote>
  <w:endnote w:type="continuationSeparator" w:id="0">
    <w:p w:rsidR="00CE6450" w:rsidRDefault="00CE6450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EB3ED4" wp14:editId="5CD6405A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0" w:rsidRDefault="00CE6450" w:rsidP="001255DA">
      <w:pPr>
        <w:spacing w:after="0" w:line="240" w:lineRule="auto"/>
      </w:pPr>
      <w:r>
        <w:separator/>
      </w:r>
    </w:p>
  </w:footnote>
  <w:footnote w:type="continuationSeparator" w:id="0">
    <w:p w:rsidR="00CE6450" w:rsidRDefault="00CE6450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40" w:rsidRPr="00BD3640" w:rsidRDefault="00BD3640" w:rsidP="00BD3640">
    <w:pPr>
      <w:pStyle w:val="BodyText"/>
      <w:rPr>
        <w:lang w:val="fr-CH"/>
      </w:rPr>
    </w:pPr>
  </w:p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Health in All Policies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the case of air pollution, urban health, and sustainability</w:t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>18-20 June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717E9"/>
    <w:multiLevelType w:val="hybridMultilevel"/>
    <w:tmpl w:val="F73A0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0"/>
    <w:rsid w:val="00104E38"/>
    <w:rsid w:val="001255DA"/>
    <w:rsid w:val="00205734"/>
    <w:rsid w:val="002204E7"/>
    <w:rsid w:val="002B5A87"/>
    <w:rsid w:val="002C20F5"/>
    <w:rsid w:val="003502DC"/>
    <w:rsid w:val="004F35F8"/>
    <w:rsid w:val="0062575B"/>
    <w:rsid w:val="008521CF"/>
    <w:rsid w:val="00A125E7"/>
    <w:rsid w:val="00B12D2F"/>
    <w:rsid w:val="00B72EA3"/>
    <w:rsid w:val="00BD3640"/>
    <w:rsid w:val="00CE6450"/>
    <w:rsid w:val="00D00DBC"/>
    <w:rsid w:val="00D74B7A"/>
    <w:rsid w:val="00D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B1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B1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C5D78-D8AF-4F8B-80C4-F6FFC5F9A2E7}"/>
</file>

<file path=customXml/itemProps2.xml><?xml version="1.0" encoding="utf-8"?>
<ds:datastoreItem xmlns:ds="http://schemas.openxmlformats.org/officeDocument/2006/customXml" ds:itemID="{7D1CDA57-C55F-4A98-9E57-3A337854C552}"/>
</file>

<file path=customXml/itemProps3.xml><?xml version="1.0" encoding="utf-8"?>
<ds:datastoreItem xmlns:ds="http://schemas.openxmlformats.org/officeDocument/2006/customXml" ds:itemID="{C437DED2-20A9-4FDF-A2C9-0883D568D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NAKALEMBE, Susanne</dc:creator>
  <cp:lastModifiedBy>VALENTINE, Nicole Britt</cp:lastModifiedBy>
  <cp:revision>2</cp:revision>
  <dcterms:created xsi:type="dcterms:W3CDTF">2018-06-15T14:02:00Z</dcterms:created>
  <dcterms:modified xsi:type="dcterms:W3CDTF">2018-06-15T14:02:00Z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