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1" w:rsidRPr="001E3A11" w:rsidRDefault="001E3A11" w:rsidP="001E3A11">
      <w:pPr>
        <w:pStyle w:val="Title"/>
        <w:rPr>
          <w:i/>
        </w:rPr>
      </w:pPr>
      <w:r w:rsidRPr="001E3A11">
        <w:rPr>
          <w:b/>
        </w:rPr>
        <w:t>Stakeholder Engagement Worksheet</w:t>
      </w:r>
    </w:p>
    <w:p w:rsidR="00D74B7A" w:rsidRDefault="001E3A11" w:rsidP="001E3A11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  <w:r w:rsidRPr="001E3A11">
        <w:rPr>
          <w:rFonts w:ascii="Arial" w:hAnsi="Arial" w:cs="Arial"/>
          <w:b w:val="0"/>
          <w:color w:val="41848D"/>
          <w:sz w:val="22"/>
          <w:szCs w:val="22"/>
        </w:rPr>
        <w:t>Formal or Informal Advisory Groups:</w:t>
      </w:r>
      <w:r w:rsidRPr="001E3A11">
        <w:rPr>
          <w:rFonts w:ascii="Arial" w:hAnsi="Arial" w:cs="Arial"/>
          <w:color w:val="41848D"/>
          <w:sz w:val="22"/>
          <w:szCs w:val="22"/>
        </w:rPr>
        <w:t xml:space="preserve"> </w:t>
      </w:r>
      <w:r w:rsidRPr="001E3A11">
        <w:rPr>
          <w:rFonts w:ascii="Arial" w:hAnsi="Arial" w:cs="Arial"/>
          <w:b w:val="0"/>
          <w:color w:val="auto"/>
          <w:sz w:val="22"/>
          <w:szCs w:val="22"/>
        </w:rPr>
        <w:t>Formal or informal advisory groups often consist of hand-selected or community-nominated individuals that represent a larger constituency. Sometimes members need to go through an application and approval process for membership and are appointed for specific terms (e.g., 2 years). Advisory groups may have formal decision-making authority or may simply be serve an advisory role.</w:t>
      </w:r>
    </w:p>
    <w:p w:rsidR="001E3A11" w:rsidRPr="001E3A11" w:rsidRDefault="001E3A11" w:rsidP="001E3A11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Style w:val="TableGrid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3A11" w:rsidRPr="001E3A11" w:rsidTr="00B75E04"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1E3A11" w:rsidRPr="001E3A11" w:rsidRDefault="001E3A11" w:rsidP="001E3A1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E3A11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1E3A11" w:rsidRPr="001E3A11" w:rsidRDefault="001E3A11" w:rsidP="001E3A1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E3A11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Weaknesses</w:t>
            </w:r>
          </w:p>
        </w:tc>
      </w:tr>
      <w:tr w:rsidR="001E3A11" w:rsidRPr="001E3A11" w:rsidTr="00B75E04">
        <w:trPr>
          <w:trHeight w:val="5226"/>
        </w:trPr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jc w:val="center"/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  <w:tr w:rsidR="001E3A11" w:rsidRPr="001E3A11" w:rsidTr="00B75E04">
        <w:trPr>
          <w:trHeight w:val="2239"/>
        </w:trPr>
        <w:tc>
          <w:tcPr>
            <w:tcW w:w="9576" w:type="dxa"/>
            <w:gridSpan w:val="2"/>
            <w:tcBorders>
              <w:top w:val="single" w:sz="12" w:space="0" w:color="4BACC6" w:themeColor="accent5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1E3A11" w:rsidRPr="001E3A11" w:rsidRDefault="001E3A11" w:rsidP="001E3A11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1E3A11">
              <w:rPr>
                <w:rFonts w:eastAsia="MS Mincho"/>
                <w:color w:val="31849B" w:themeColor="accent5" w:themeShade="BF"/>
                <w:sz w:val="22"/>
                <w:szCs w:val="22"/>
              </w:rPr>
              <w:t>Appropriateness: When would you select to use one-on-one discussions?</w:t>
            </w: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1E3A11" w:rsidRPr="001E3A11" w:rsidTr="00B75E04">
        <w:trPr>
          <w:trHeight w:val="1141"/>
        </w:trPr>
        <w:tc>
          <w:tcPr>
            <w:tcW w:w="957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1E3A11" w:rsidRPr="001E3A11" w:rsidRDefault="001E3A11" w:rsidP="001E3A11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1E3A11">
              <w:rPr>
                <w:rFonts w:eastAsia="MS Mincho"/>
                <w:color w:val="31849B" w:themeColor="accent5" w:themeShade="BF"/>
                <w:sz w:val="22"/>
                <w:szCs w:val="22"/>
              </w:rPr>
              <w:t xml:space="preserve">Implementation Considerations: </w:t>
            </w:r>
          </w:p>
          <w:p w:rsidR="001E3A11" w:rsidRPr="001E3A11" w:rsidRDefault="001E3A11" w:rsidP="001E3A11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bookmarkStart w:id="0" w:name="_GoBack"/>
            <w:bookmarkEnd w:id="0"/>
          </w:p>
          <w:p w:rsidR="001E3A11" w:rsidRPr="001E3A11" w:rsidRDefault="001E3A11" w:rsidP="001E3A11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1E3A11" w:rsidRPr="001E3A11" w:rsidRDefault="001E3A11" w:rsidP="001E3A11">
            <w:pPr>
              <w:pStyle w:val="BodyText"/>
              <w:rPr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1E3A11" w:rsidRPr="001E3A11" w:rsidRDefault="001E3A11" w:rsidP="001E3A11">
      <w:pPr>
        <w:pStyle w:val="BodyText"/>
        <w:rPr>
          <w:color w:val="31849B" w:themeColor="accent5" w:themeShade="BF"/>
          <w:lang w:val="en-GB"/>
        </w:rPr>
      </w:pPr>
    </w:p>
    <w:p w:rsidR="001E3A11" w:rsidRPr="001E3A11" w:rsidRDefault="001E3A11" w:rsidP="001E3A11">
      <w:pPr>
        <w:pStyle w:val="BodyText"/>
        <w:rPr>
          <w:color w:val="31849B" w:themeColor="accent5" w:themeShade="BF"/>
          <w:lang w:val="en-GB"/>
        </w:rPr>
      </w:pPr>
    </w:p>
    <w:sectPr w:rsidR="001E3A11" w:rsidRPr="001E3A11" w:rsidSect="004F35F8">
      <w:headerReference w:type="default" r:id="rId8"/>
      <w:footerReference w:type="default" r:id="rId9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F" w:rsidRDefault="0073034F" w:rsidP="001255DA">
      <w:pPr>
        <w:spacing w:after="0" w:line="240" w:lineRule="auto"/>
      </w:pPr>
      <w:r>
        <w:separator/>
      </w:r>
    </w:p>
  </w:endnote>
  <w:end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OffcPro">
    <w:altName w:val="DIN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A1A73" wp14:editId="42156872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F" w:rsidRDefault="0073034F" w:rsidP="001255DA">
      <w:pPr>
        <w:spacing w:after="0" w:line="240" w:lineRule="auto"/>
      </w:pPr>
      <w:r>
        <w:separator/>
      </w:r>
    </w:p>
  </w:footnote>
  <w:foot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in All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Policies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the case of air pollution,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urban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, and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sustainability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 xml:space="preserve">18-20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June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255DA"/>
    <w:rsid w:val="001A5487"/>
    <w:rsid w:val="001E3A11"/>
    <w:rsid w:val="002B5A87"/>
    <w:rsid w:val="002C20F5"/>
    <w:rsid w:val="003502DC"/>
    <w:rsid w:val="004F35F8"/>
    <w:rsid w:val="0062575B"/>
    <w:rsid w:val="0073034F"/>
    <w:rsid w:val="008521CF"/>
    <w:rsid w:val="00A125E7"/>
    <w:rsid w:val="00B72EA3"/>
    <w:rsid w:val="00D00DBC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1E3A11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3A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1E3A11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3A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DH%202018\Formarting%20documents\HiAP%20USA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7EE97-D8E4-414D-970B-C1EA03A7B983}"/>
</file>

<file path=customXml/itemProps2.xml><?xml version="1.0" encoding="utf-8"?>
<ds:datastoreItem xmlns:ds="http://schemas.openxmlformats.org/officeDocument/2006/customXml" ds:itemID="{97354EF4-FE1E-422B-9899-22D71AE71E8D}"/>
</file>

<file path=customXml/itemProps3.xml><?xml version="1.0" encoding="utf-8"?>
<ds:datastoreItem xmlns:ds="http://schemas.openxmlformats.org/officeDocument/2006/customXml" ds:itemID="{1C0577B6-5C20-4EAE-99F6-3806FDB6C617}"/>
</file>

<file path=docProps/app.xml><?xml version="1.0" encoding="utf-8"?>
<Properties xmlns="http://schemas.openxmlformats.org/officeDocument/2006/extended-properties" xmlns:vt="http://schemas.openxmlformats.org/officeDocument/2006/docPropsVTypes">
  <Template>HiAP USA Word Template.dotx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KUZMANOVIC, Aleksandra</dc:creator>
  <cp:lastModifiedBy>NAKALEMBE, Susanne</cp:lastModifiedBy>
  <cp:revision>2</cp:revision>
  <dcterms:created xsi:type="dcterms:W3CDTF">2018-06-14T11:35:00Z</dcterms:created>
  <dcterms:modified xsi:type="dcterms:W3CDTF">2018-06-14T11:35:00Z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